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E62F9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Style w:val="7"/>
          <w:rFonts w:hint="eastAsia" w:ascii="仿宋_GB2312" w:hAnsi="仿宋" w:eastAsia="仿宋_GB2312" w:cs="仿宋"/>
          <w:b w:val="0"/>
          <w:bCs w:val="0"/>
          <w:color w:val="333333"/>
          <w:sz w:val="32"/>
          <w:szCs w:val="32"/>
          <w:lang w:val="en-US" w:eastAsia="zh-CN"/>
        </w:rPr>
      </w:pPr>
    </w:p>
    <w:p w14:paraId="1F0A1BF2">
      <w:pPr>
        <w:widowControl/>
        <w:shd w:val="clear" w:color="auto" w:fill="FFFFFF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3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关于组织开展2026年“挑战杯”大学生创业计划竞赛作品校内选拔赛的预通知</w:t>
      </w:r>
    </w:p>
    <w:p w14:paraId="37B0B96D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Style w:val="7"/>
          <w:rFonts w:hint="default" w:ascii="仿宋_GB2312" w:hAnsi="仿宋" w:eastAsia="仿宋_GB2312" w:cs="仿宋"/>
          <w:b w:val="0"/>
          <w:bCs w:val="0"/>
          <w:color w:val="333333"/>
          <w:sz w:val="32"/>
          <w:szCs w:val="32"/>
          <w:lang w:val="en-US" w:eastAsia="zh-CN"/>
        </w:rPr>
      </w:pPr>
    </w:p>
    <w:p w14:paraId="5E305030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Style w:val="7"/>
          <w:rFonts w:hint="eastAsia" w:ascii="仿宋_GB2312" w:hAnsi="仿宋" w:eastAsia="仿宋_GB2312" w:cs="仿宋"/>
          <w:b w:val="0"/>
          <w:bCs w:val="0"/>
          <w:color w:val="333333"/>
          <w:sz w:val="32"/>
          <w:szCs w:val="32"/>
        </w:rPr>
        <w:t>各二级学院</w:t>
      </w:r>
      <w:r>
        <w:rPr>
          <w:rStyle w:val="7"/>
          <w:rFonts w:hint="eastAsia" w:ascii="仿宋_GB2312" w:hAnsi="仿宋" w:eastAsia="仿宋_GB2312" w:cs="仿宋"/>
          <w:b w:val="0"/>
          <w:bCs w:val="0"/>
          <w:color w:val="333333"/>
          <w:sz w:val="32"/>
          <w:szCs w:val="32"/>
          <w:lang w:val="en-US" w:eastAsia="zh-CN"/>
        </w:rPr>
        <w:t>团委</w:t>
      </w:r>
      <w:r>
        <w:rPr>
          <w:rStyle w:val="7"/>
          <w:rFonts w:hint="eastAsia" w:ascii="仿宋_GB2312" w:hAnsi="仿宋" w:eastAsia="仿宋_GB2312" w:cs="仿宋"/>
          <w:b w:val="0"/>
          <w:bCs w:val="0"/>
          <w:color w:val="333333"/>
          <w:sz w:val="32"/>
          <w:szCs w:val="32"/>
        </w:rPr>
        <w:t>：</w:t>
      </w:r>
    </w:p>
    <w:p w14:paraId="7E812563">
      <w:pPr>
        <w:widowControl/>
        <w:spacing w:line="560" w:lineRule="exact"/>
        <w:ind w:firstLine="640" w:firstLineChars="200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为深入学习贯彻习近平新时代中国特色社会主义思想，聚焦为党育人实践育人，引导和激励学生提高创新、创意、创造、创业的意识和能力，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促进学校“双创”人才培养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现组织开展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“挑战杯”大学生创业计划竞赛作品校内选拔赛。现将有关事宜通知如下：</w:t>
      </w:r>
    </w:p>
    <w:p w14:paraId="3B845302"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 w:cs="仿宋"/>
          <w:b w:val="0"/>
          <w:bCs w:val="0"/>
          <w:color w:val="333333"/>
          <w:sz w:val="32"/>
          <w:szCs w:val="32"/>
        </w:rPr>
        <w:t>参赛对象</w:t>
      </w:r>
    </w:p>
    <w:p w14:paraId="5E7139EF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学校202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年6月1日以前正式注册的全日制非成人教育的在校本科生。</w:t>
      </w:r>
    </w:p>
    <w:p w14:paraId="38C8673B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</w:pPr>
      <w:r>
        <w:rPr>
          <w:rStyle w:val="7"/>
          <w:rFonts w:hint="eastAsia" w:ascii="黑体" w:hAnsi="黑体" w:eastAsia="黑体" w:cs="仿宋"/>
          <w:b w:val="0"/>
          <w:bCs w:val="0"/>
          <w:color w:val="000000"/>
          <w:sz w:val="32"/>
          <w:szCs w:val="32"/>
        </w:rPr>
        <w:t>二、竞赛类别</w:t>
      </w:r>
    </w:p>
    <w:p w14:paraId="6FCA573B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根据往年赛制规程，竞赛聚焦创新、协调、绿色、开放、共享五大发展理念，设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五个项目类别方向：</w:t>
      </w:r>
    </w:p>
    <w:p w14:paraId="7E0B06F1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科技创新和未来产业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：围绕创新驱动发展战略，推动数字经济健康发展，在智能制造、信息技术、大数据、人工智能、生命科学、新材料、军民融合等领域，结合实践观察设计项目。</w:t>
      </w:r>
    </w:p>
    <w:p w14:paraId="7E9361A1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乡村振兴和共同富裕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：围绕实施乡村振兴战略，在农林牧渔、电子商务、乡村旅游、城乡融合等领域，结合实践观察设计项目。</w:t>
      </w:r>
    </w:p>
    <w:p w14:paraId="37D65D83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城市治理和社会服务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：围绕国家治理体系和治理能力现代化建设，在政务服务、消费生活、公共卫生与医疗服务、金融与财经法务、教育培训、交通物流、人力资源等领域，结合实践观察设计项目。</w:t>
      </w:r>
    </w:p>
    <w:p w14:paraId="00BB0A9B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生态环保和可持续发展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：围绕可持续发展战略和碳达峰碳中和目标，在环境治理、可持续资源开发、生态环保、清洁能源应用等领域，结合实践观察设计项目。</w:t>
      </w:r>
    </w:p>
    <w:p w14:paraId="2A3B8138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文化创意和区域合作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：突出共融、共享，紧密围绕“一带一路”和京津冀、长三角、粤港澳大湾区以及成渝地区双城经济圈、长江中游城市群等区域合作，在工业设计、动漫广告、体育竞技和国际文化传播、对外交流培训、对外经贸等领域，结合实践观察设计项目。</w:t>
      </w:r>
    </w:p>
    <w:p w14:paraId="7B2D215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33333"/>
          <w:sz w:val="32"/>
          <w:szCs w:val="32"/>
        </w:rPr>
        <w:t>（大赛通知正式发布后若有新调整将另行通知）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。</w:t>
      </w:r>
    </w:p>
    <w:p w14:paraId="71D90E81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</w:pPr>
      <w:r>
        <w:rPr>
          <w:rStyle w:val="7"/>
          <w:rFonts w:hint="eastAsia" w:ascii="黑体" w:hAnsi="黑体" w:eastAsia="黑体" w:cs="仿宋"/>
          <w:b w:val="0"/>
          <w:bCs w:val="0"/>
          <w:color w:val="000000"/>
          <w:sz w:val="32"/>
          <w:szCs w:val="32"/>
        </w:rPr>
        <w:t>三、申报要求</w:t>
      </w:r>
    </w:p>
    <w:p w14:paraId="44D1B50F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本次竞赛以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学院为单位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统一申报，以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项目团队形式参赛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，原则上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每人限报 1 件作品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，每个参赛项目只可选择参加一个组别，不得兼报。每个团队人数原则上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至少6人且不超过10人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，每个项目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指导教师原则上不超过3人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。</w:t>
      </w:r>
    </w:p>
    <w:p w14:paraId="0D65F250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</w:pPr>
      <w:r>
        <w:rPr>
          <w:rStyle w:val="7"/>
          <w:rFonts w:hint="eastAsia" w:ascii="黑体" w:hAnsi="黑体" w:eastAsia="黑体" w:cs="仿宋"/>
          <w:b w:val="0"/>
          <w:bCs w:val="0"/>
          <w:color w:val="000000"/>
          <w:sz w:val="32"/>
          <w:szCs w:val="32"/>
        </w:rPr>
        <w:t>四、参赛办法</w:t>
      </w:r>
    </w:p>
    <w:p w14:paraId="3ADD6106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“挑战杯”大学生创业计划竞赛校内选拔赛报名者须填写作品申报书（附件1）并上交作品成果，由</w:t>
      </w:r>
      <w:r>
        <w:rPr>
          <w:rFonts w:hint="eastAsia" w:ascii="仿宋_GB2312" w:hAnsi="微软雅黑" w:eastAsia="仿宋_GB2312"/>
          <w:b/>
          <w:bCs/>
          <w:color w:val="444444"/>
          <w:sz w:val="32"/>
          <w:szCs w:val="32"/>
        </w:rPr>
        <w:t>各二级学院初选并进行排序推荐</w:t>
      </w:r>
      <w:r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  <w:t>。</w:t>
      </w:r>
    </w:p>
    <w:p w14:paraId="0E2347AB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</w:pPr>
      <w:r>
        <w:rPr>
          <w:rStyle w:val="7"/>
          <w:rFonts w:ascii="黑体" w:hAnsi="黑体" w:eastAsia="黑体" w:cs="仿宋"/>
          <w:b w:val="0"/>
          <w:bCs w:val="0"/>
          <w:color w:val="000000"/>
          <w:sz w:val="32"/>
          <w:szCs w:val="32"/>
        </w:rPr>
        <w:t>五、赛事安排</w:t>
      </w:r>
    </w:p>
    <w:p w14:paraId="1B0D8E8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竞赛分动员部署、学院遴选、校级竞赛和省级竞赛四个阶段实施。</w:t>
      </w:r>
    </w:p>
    <w:p w14:paraId="7222867E">
      <w:pPr>
        <w:pStyle w:val="4"/>
        <w:shd w:val="clear" w:color="auto" w:fill="FFFFFF"/>
        <w:tabs>
          <w:tab w:val="left" w:pos="312"/>
        </w:tabs>
        <w:spacing w:before="0" w:beforeAutospacing="0" w:after="0" w:afterAutospacing="0" w:line="560" w:lineRule="exact"/>
        <w:ind w:firstLine="640" w:firstLineChars="200"/>
        <w:jc w:val="both"/>
        <w:rPr>
          <w:rFonts w:ascii="楷体_GB2312" w:hAnsi="仿宋" w:eastAsia="楷体_GB2312" w:cs="仿宋"/>
          <w:color w:val="000000"/>
          <w:sz w:val="32"/>
          <w:szCs w:val="32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（一）动员部署阶段（1</w:t>
      </w:r>
      <w:r>
        <w:rPr>
          <w:rFonts w:hint="eastAsia" w:ascii="楷体_GB2312" w:hAnsi="仿宋" w:eastAsia="楷体_GB2312" w:cs="仿宋"/>
          <w:color w:val="000000"/>
          <w:sz w:val="32"/>
          <w:szCs w:val="32"/>
          <w:lang w:val="en-US" w:eastAsia="zh-CN"/>
        </w:rPr>
        <w:t>0</w:t>
      </w:r>
      <w:r>
        <w:rPr>
          <w:rFonts w:hint="eastAsia" w:ascii="楷体_GB2312" w:hAnsi="仿宋" w:eastAsia="楷体_GB2312" w:cs="仿宋"/>
          <w:color w:val="000000"/>
          <w:sz w:val="32"/>
          <w:szCs w:val="32"/>
        </w:rPr>
        <w:t>月）</w:t>
      </w:r>
    </w:p>
    <w:p w14:paraId="318E96B8">
      <w:pPr>
        <w:pStyle w:val="4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按照通知等文件要求及时部署，明确竞赛步骤和评审标准。同时，积极争取有关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支持，确保活动顺利开展。</w:t>
      </w:r>
    </w:p>
    <w:p w14:paraId="4638EFED">
      <w:pPr>
        <w:pStyle w:val="4"/>
        <w:shd w:val="clear" w:color="auto" w:fill="FFFFFF"/>
        <w:tabs>
          <w:tab w:val="left" w:pos="312"/>
        </w:tabs>
        <w:spacing w:before="0" w:beforeAutospacing="0" w:after="0" w:afterAutospacing="0" w:line="560" w:lineRule="exact"/>
        <w:ind w:firstLine="640" w:firstLineChars="200"/>
        <w:jc w:val="both"/>
        <w:rPr>
          <w:rFonts w:ascii="楷体_GB2312" w:hAnsi="仿宋" w:eastAsia="楷体_GB2312" w:cs="仿宋"/>
          <w:color w:val="000000"/>
          <w:sz w:val="32"/>
          <w:szCs w:val="32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（二）学院推报阶段（</w:t>
      </w:r>
      <w:r>
        <w:rPr>
          <w:rFonts w:hint="eastAsia" w:ascii="楷体_GB2312" w:hAnsi="仿宋" w:eastAsia="楷体_GB2312" w:cs="仿宋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楷体_GB2312" w:hAnsi="仿宋" w:eastAsia="楷体_GB2312" w:cs="仿宋"/>
          <w:color w:val="000000"/>
          <w:sz w:val="32"/>
          <w:szCs w:val="32"/>
        </w:rPr>
        <w:t>月-</w:t>
      </w:r>
      <w:r>
        <w:rPr>
          <w:rFonts w:hint="eastAsia" w:ascii="楷体_GB2312" w:hAnsi="仿宋" w:eastAsia="楷体_GB2312" w:cs="仿宋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楷体_GB2312" w:hAnsi="仿宋" w:eastAsia="楷体_GB2312" w:cs="仿宋"/>
          <w:color w:val="000000"/>
          <w:sz w:val="32"/>
          <w:szCs w:val="32"/>
        </w:rPr>
        <w:t>月）</w:t>
      </w:r>
    </w:p>
    <w:p w14:paraId="11594432">
      <w:pPr>
        <w:pStyle w:val="4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作品团队在指导老师的辅导下，进一步明确研究方向，认真完善作品文本。各学院需在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26日</w:t>
      </w:r>
      <w:r>
        <w:rPr>
          <w:rFonts w:hint="eastAsia" w:ascii="仿宋_GB2312" w:eastAsia="仿宋_GB2312"/>
          <w:sz w:val="32"/>
          <w:szCs w:val="32"/>
        </w:rPr>
        <w:t>前完成院级比赛，选拔优秀作品参加校赛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。</w:t>
      </w:r>
      <w:bookmarkStart w:id="0" w:name="_GoBack"/>
      <w:bookmarkEnd w:id="0"/>
    </w:p>
    <w:p w14:paraId="2899F7A0">
      <w:pPr>
        <w:pStyle w:val="4"/>
        <w:shd w:val="clear" w:color="auto" w:fill="FFFFFF"/>
        <w:tabs>
          <w:tab w:val="left" w:pos="312"/>
        </w:tabs>
        <w:spacing w:before="0" w:beforeAutospacing="0" w:after="0" w:afterAutospacing="0" w:line="560" w:lineRule="exact"/>
        <w:ind w:firstLine="640" w:firstLineChars="200"/>
        <w:jc w:val="both"/>
        <w:rPr>
          <w:rFonts w:ascii="楷体_GB2312" w:hAnsi="仿宋" w:eastAsia="楷体_GB2312" w:cs="仿宋"/>
          <w:color w:val="000000"/>
          <w:sz w:val="32"/>
          <w:szCs w:val="32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（三）校级竞赛阶段（</w:t>
      </w:r>
      <w:r>
        <w:rPr>
          <w:rFonts w:hint="eastAsia" w:ascii="楷体_GB2312" w:hAnsi="仿宋" w:eastAsia="楷体_GB2312" w:cs="仿宋"/>
          <w:color w:val="000000"/>
          <w:sz w:val="32"/>
          <w:szCs w:val="32"/>
          <w:lang w:val="en-US" w:eastAsia="zh-CN"/>
        </w:rPr>
        <w:t>12月-1月</w:t>
      </w: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）</w:t>
      </w:r>
    </w:p>
    <w:p w14:paraId="35BD7736">
      <w:pPr>
        <w:pStyle w:val="4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校赛初步拟定为复赛和决赛，复赛采用文本评审方式，决赛采取文本评审与现场答辩相结合的方式，最终将评出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拟推省赛名单</w:t>
      </w:r>
      <w:r>
        <w:rPr>
          <w:rFonts w:hint="eastAsia" w:ascii="仿宋_GB2312" w:eastAsia="仿宋_GB2312"/>
          <w:sz w:val="32"/>
          <w:szCs w:val="32"/>
        </w:rPr>
        <w:t xml:space="preserve">。 </w:t>
      </w:r>
    </w:p>
    <w:p w14:paraId="40933466">
      <w:pPr>
        <w:pStyle w:val="4"/>
        <w:shd w:val="clear" w:color="auto" w:fill="FFFFFF"/>
        <w:tabs>
          <w:tab w:val="left" w:pos="312"/>
        </w:tabs>
        <w:spacing w:before="0" w:beforeAutospacing="0" w:after="0" w:afterAutospacing="0" w:line="560" w:lineRule="exact"/>
        <w:ind w:firstLine="640" w:firstLineChars="200"/>
        <w:jc w:val="both"/>
        <w:rPr>
          <w:rFonts w:ascii="楷体_GB2312" w:hAnsi="仿宋" w:eastAsia="楷体_GB2312" w:cs="仿宋"/>
          <w:color w:val="000000"/>
          <w:sz w:val="32"/>
          <w:szCs w:val="32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（四）省级竞赛阶段（202</w:t>
      </w:r>
      <w:r>
        <w:rPr>
          <w:rFonts w:hint="eastAsia" w:ascii="楷体_GB2312" w:hAnsi="仿宋" w:eastAsia="楷体_GB2312" w:cs="仿宋"/>
          <w:color w:val="000000"/>
          <w:sz w:val="32"/>
          <w:szCs w:val="32"/>
          <w:lang w:val="en-US" w:eastAsia="zh-CN"/>
        </w:rPr>
        <w:t>6年4月</w:t>
      </w:r>
      <w:r>
        <w:rPr>
          <w:rFonts w:hint="eastAsia" w:ascii="楷体_GB2312" w:hAnsi="仿宋" w:eastAsia="楷体_GB2312" w:cs="仿宋"/>
          <w:color w:val="000000"/>
          <w:sz w:val="32"/>
          <w:szCs w:val="32"/>
        </w:rPr>
        <w:t>，以大赛正式通知为准）</w:t>
      </w:r>
    </w:p>
    <w:p w14:paraId="41AC470A">
      <w:pPr>
        <w:pStyle w:val="4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="仿宋_GB2312" w:hAnsi="仿宋" w:eastAsia="仿宋_GB2312" w:cs="仿宋"/>
          <w:b/>
          <w:bCs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四、作品提交</w:t>
      </w:r>
    </w:p>
    <w:p w14:paraId="092E0F45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各二级学院需于202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月</w:t>
      </w:r>
      <w:r>
        <w:rPr>
          <w:rFonts w:ascii="仿宋_GB2312" w:hAnsi="仿宋" w:eastAsia="仿宋_GB2312" w:cs="仿宋"/>
          <w:color w:val="333333"/>
          <w:sz w:val="32"/>
          <w:szCs w:val="32"/>
        </w:rPr>
        <w:t>26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日1</w:t>
      </w:r>
      <w:r>
        <w:rPr>
          <w:rFonts w:ascii="仿宋_GB2312" w:hAnsi="仿宋" w:eastAsia="仿宋_GB2312" w:cs="仿宋"/>
          <w:color w:val="333333"/>
          <w:sz w:val="32"/>
          <w:szCs w:val="32"/>
        </w:rPr>
        <w:t>7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：0</w:t>
      </w:r>
      <w:r>
        <w:rPr>
          <w:rFonts w:ascii="仿宋_GB2312" w:hAnsi="仿宋" w:eastAsia="仿宋_GB2312" w:cs="仿宋"/>
          <w:color w:val="333333"/>
          <w:sz w:val="32"/>
          <w:szCs w:val="32"/>
        </w:rPr>
        <w:t>0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前提交校赛作品。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  <w:lang w:val="en-US" w:eastAsia="zh-CN"/>
        </w:rPr>
        <w:t>电子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申报书（附件1）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  <w:lang w:val="en-US" w:eastAsia="zh-CN"/>
        </w:rPr>
        <w:t>电子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项目介绍材料（20页以内PPT）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  <w:lang w:val="en-US" w:eastAsia="zh-CN"/>
        </w:rPr>
        <w:t>电子及纸质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作品汇总表（一式一份，按学院推荐次序排序，附件2）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加盖</w:t>
      </w: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学院公章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后送至团委办公室（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11-117办公室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）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电子材料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以“学院名称+小挑材料”打包发送至电子邮箱</w:t>
      </w:r>
      <w:r>
        <w:rPr>
          <w:rFonts w:hint="eastAsia" w:ascii="仿宋_GB2312" w:eastAsia="仿宋_GB2312"/>
          <w:sz w:val="32"/>
          <w:szCs w:val="32"/>
        </w:rPr>
        <w:t>hzxytw@sina.com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。</w:t>
      </w:r>
    </w:p>
    <w:p w14:paraId="476C75D2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仿宋"/>
          <w:b/>
          <w:bCs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 w:cs="仿宋"/>
          <w:b w:val="0"/>
          <w:bCs w:val="0"/>
          <w:color w:val="000000"/>
          <w:sz w:val="32"/>
          <w:szCs w:val="32"/>
        </w:rPr>
        <w:t>六、工作要求</w:t>
      </w:r>
    </w:p>
    <w:p w14:paraId="26F0D095">
      <w:pPr>
        <w:pStyle w:val="4"/>
        <w:spacing w:before="0" w:beforeAutospacing="0" w:after="0" w:afterAutospacing="0" w:line="560" w:lineRule="exact"/>
        <w:ind w:firstLine="675" w:firstLineChars="200"/>
        <w:jc w:val="both"/>
        <w:rPr>
          <w:rFonts w:ascii="仿宋_GB2312" w:hAnsi="仿宋" w:eastAsia="仿宋_GB2312" w:cs="仿宋"/>
          <w:spacing w:val="8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pacing w:val="8"/>
          <w:sz w:val="32"/>
          <w:szCs w:val="32"/>
        </w:rPr>
        <w:t>（一）高度重视，加强领导。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各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  <w:lang w:val="en-US" w:eastAsia="zh-CN"/>
        </w:rPr>
        <w:t>学院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要充分认识“挑战杯”竞赛是实施科教兴国战略和人才强国战略、深化教育改革、推进素质教育的重要举措，是培养创新型科技人才的重要途径。要结合相关教育教学改革，切实加强对竞赛组织工作的领导。</w:t>
      </w:r>
    </w:p>
    <w:p w14:paraId="7F7EAF0E">
      <w:pPr>
        <w:pStyle w:val="4"/>
        <w:spacing w:before="0" w:beforeAutospacing="0" w:after="0" w:afterAutospacing="0" w:line="560" w:lineRule="exact"/>
        <w:ind w:firstLine="675" w:firstLineChars="200"/>
        <w:jc w:val="both"/>
        <w:rPr>
          <w:rFonts w:ascii="仿宋_GB2312" w:hAnsi="仿宋" w:eastAsia="仿宋_GB2312" w:cs="仿宋"/>
          <w:spacing w:val="8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pacing w:val="8"/>
          <w:sz w:val="32"/>
          <w:szCs w:val="32"/>
        </w:rPr>
        <w:t>（二）精心组织，夯实基础。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各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  <w:lang w:val="en-US" w:eastAsia="zh-CN"/>
        </w:rPr>
        <w:t>学院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要结合校级、省级大学生科技创新计划项目成果精心组织参赛团队和项目，不断扩大竞赛活动的群众基础；要创造条件，调动师生参与竞赛的积极性，努力提高参赛作品的质量和水平；要完善配套政策，把“挑战杯”竞赛成果的转化和对学生的激励制度化；要根据各阶段时间节点制定工作方案，明确工作进度，实施动态管理，确保工作及时推进。</w:t>
      </w:r>
    </w:p>
    <w:p w14:paraId="3A0E9E81">
      <w:pPr>
        <w:pStyle w:val="4"/>
        <w:spacing w:before="0" w:beforeAutospacing="0" w:after="0" w:afterAutospacing="0" w:line="560" w:lineRule="exact"/>
        <w:ind w:firstLine="675" w:firstLineChars="200"/>
        <w:jc w:val="both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pacing w:val="8"/>
          <w:sz w:val="32"/>
          <w:szCs w:val="32"/>
        </w:rPr>
        <w:t>（三）积极宣传，扩大影响。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各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  <w:lang w:val="en-US" w:eastAsia="zh-CN"/>
        </w:rPr>
        <w:t>学院</w:t>
      </w:r>
      <w:r>
        <w:rPr>
          <w:rFonts w:hint="eastAsia" w:ascii="仿宋_GB2312" w:hAnsi="仿宋" w:eastAsia="仿宋_GB2312" w:cs="仿宋"/>
          <w:color w:val="000000"/>
          <w:spacing w:val="8"/>
          <w:sz w:val="32"/>
          <w:szCs w:val="32"/>
        </w:rPr>
        <w:t>要结合实际做好宣传工作，使“挑战杯”系列竞赛品牌在师生中产生更为广泛的影响；要广泛宣传竞赛中产生的典型事迹和典型人物，积极开展各级各类科普和科技创新创造活动，在校园中形成崇尚创新、鼓励创新的浓厚氛围，为造就创新型技术技能人才提供强有力的文化支撑。</w:t>
      </w:r>
    </w:p>
    <w:p w14:paraId="5DE37C6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未尽事宜，请联系：0572-2113308（姜老师、易老师）。</w:t>
      </w:r>
    </w:p>
    <w:p w14:paraId="7B2938F6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sz w:val="32"/>
          <w:szCs w:val="32"/>
        </w:rPr>
      </w:pPr>
    </w:p>
    <w:p w14:paraId="02846131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sz w:val="32"/>
          <w:szCs w:val="32"/>
        </w:rPr>
      </w:pPr>
    </w:p>
    <w:p w14:paraId="424455DE">
      <w:pPr>
        <w:pStyle w:val="4"/>
        <w:shd w:val="clear" w:color="auto" w:fill="FFFFFF"/>
        <w:spacing w:before="0" w:beforeAutospacing="0" w:after="0" w:afterAutospacing="0" w:line="560" w:lineRule="exact"/>
        <w:ind w:firstLine="560"/>
        <w:rPr>
          <w:rFonts w:ascii="仿宋_GB2312" w:hAnsi="微软雅黑" w:eastAsia="仿宋_GB2312"/>
          <w:b/>
          <w:bCs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b/>
          <w:bCs/>
          <w:color w:val="444444"/>
          <w:sz w:val="32"/>
          <w:szCs w:val="32"/>
        </w:rPr>
        <w:t>附件：</w:t>
      </w:r>
    </w:p>
    <w:p w14:paraId="38EFEDC1">
      <w:pPr>
        <w:pStyle w:val="4"/>
        <w:shd w:val="clear" w:color="auto" w:fill="FFFFFF"/>
        <w:spacing w:before="0" w:beforeAutospacing="0" w:after="0" w:afterAutospacing="0" w:line="560" w:lineRule="exact"/>
        <w:ind w:firstLine="560"/>
        <w:rPr>
          <w:rFonts w:ascii="仿宋_GB2312" w:hAnsi="微软雅黑" w:eastAsia="仿宋_GB2312"/>
          <w:color w:val="444444"/>
          <w:sz w:val="32"/>
          <w:szCs w:val="32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1</w:t>
      </w:r>
      <w:r>
        <w:rPr>
          <w:rFonts w:ascii="仿宋_GB2312" w:hAnsi="微软雅黑" w:eastAsia="仿宋_GB2312"/>
          <w:color w:val="444444"/>
          <w:sz w:val="32"/>
          <w:szCs w:val="32"/>
        </w:rPr>
        <w:t>.</w:t>
      </w:r>
      <w:r>
        <w:rPr>
          <w:rFonts w:hint="eastAsia" w:ascii="仿宋_GB2312" w:hAnsi="微软雅黑" w:eastAsia="仿宋_GB2312"/>
          <w:color w:val="444444"/>
          <w:sz w:val="32"/>
          <w:szCs w:val="32"/>
        </w:rPr>
        <w:t>“挑战杯”大学生创业计划竞赛作品申报书</w:t>
      </w:r>
    </w:p>
    <w:p w14:paraId="6780E10C">
      <w:pPr>
        <w:pStyle w:val="4"/>
        <w:shd w:val="clear" w:color="auto" w:fill="FFFFFF"/>
        <w:spacing w:before="0" w:beforeAutospacing="0" w:after="0" w:afterAutospacing="0" w:line="560" w:lineRule="exact"/>
        <w:ind w:firstLine="560"/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2.“挑战杯”大学生创业计划竞赛项目申报汇总表</w:t>
      </w:r>
      <w:r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  <w:t>（</w:t>
      </w:r>
      <w:r>
        <w:rPr>
          <w:rFonts w:hint="eastAsia" w:ascii="仿宋_GB2312" w:hAnsi="微软雅黑" w:eastAsia="仿宋_GB2312"/>
          <w:color w:val="444444"/>
          <w:sz w:val="32"/>
          <w:szCs w:val="32"/>
          <w:lang w:val="en-US" w:eastAsia="zh-CN"/>
        </w:rPr>
        <w:t>Excel</w:t>
      </w:r>
      <w:r>
        <w:rPr>
          <w:rFonts w:hint="eastAsia" w:ascii="仿宋_GB2312" w:hAnsi="微软雅黑" w:eastAsia="仿宋_GB2312"/>
          <w:color w:val="444444"/>
          <w:sz w:val="32"/>
          <w:szCs w:val="32"/>
          <w:lang w:eastAsia="zh-CN"/>
        </w:rPr>
        <w:t>）</w:t>
      </w:r>
    </w:p>
    <w:p w14:paraId="6A5D5363">
      <w:pPr>
        <w:pStyle w:val="4"/>
        <w:shd w:val="clear" w:color="auto" w:fill="FFFFFF"/>
        <w:spacing w:before="0" w:beforeAutospacing="0" w:after="0" w:afterAutospacing="0" w:line="560" w:lineRule="exact"/>
        <w:ind w:firstLine="560"/>
        <w:rPr>
          <w:rFonts w:hint="eastAsia" w:ascii="仿宋_GB2312" w:hAnsi="微软雅黑" w:eastAsia="仿宋_GB2312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444444"/>
          <w:sz w:val="32"/>
          <w:szCs w:val="32"/>
        </w:rPr>
        <w:t>3.“挑战杯”大学生创业计划竞赛文本比赛评分</w:t>
      </w:r>
      <w:r>
        <w:rPr>
          <w:rFonts w:hint="eastAsia" w:ascii="仿宋_GB2312" w:hAnsi="微软雅黑" w:eastAsia="仿宋_GB2312"/>
          <w:color w:val="444444"/>
          <w:sz w:val="32"/>
          <w:szCs w:val="32"/>
          <w:lang w:val="en-US" w:eastAsia="zh-CN"/>
        </w:rPr>
        <w:t>要点</w:t>
      </w:r>
    </w:p>
    <w:p w14:paraId="57C27F30">
      <w:pPr>
        <w:pStyle w:val="4"/>
        <w:shd w:val="clear" w:color="auto" w:fill="FFFFFF"/>
        <w:spacing w:before="0" w:beforeAutospacing="0" w:after="0" w:afterAutospacing="0" w:line="560" w:lineRule="exact"/>
        <w:ind w:firstLine="560"/>
        <w:rPr>
          <w:rFonts w:hint="eastAsia" w:ascii="仿宋_GB2312" w:hAnsi="微软雅黑" w:eastAsia="仿宋_GB2312"/>
          <w:color w:val="444444"/>
          <w:sz w:val="32"/>
          <w:szCs w:val="32"/>
          <w:lang w:val="en-US" w:eastAsia="zh-CN"/>
        </w:rPr>
      </w:pPr>
    </w:p>
    <w:p w14:paraId="44E76E0B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 w:cs="仿宋"/>
          <w:sz w:val="32"/>
          <w:szCs w:val="32"/>
        </w:rPr>
      </w:pPr>
    </w:p>
    <w:p w14:paraId="7D756BB7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sz w:val="32"/>
          <w:szCs w:val="32"/>
        </w:rPr>
      </w:pP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ascii="Calibri" w:hAnsi="Calibri" w:eastAsia="仿宋_GB2312" w:cs="Calibri"/>
          <w:sz w:val="32"/>
          <w:szCs w:val="32"/>
        </w:rPr>
        <w:t> </w:t>
      </w:r>
      <w:r>
        <w:rPr>
          <w:rFonts w:hint="eastAsia" w:ascii="仿宋_GB2312" w:hAnsi="仿宋" w:eastAsia="仿宋_GB2312" w:cs="仿宋"/>
          <w:sz w:val="32"/>
          <w:szCs w:val="32"/>
        </w:rPr>
        <w:t>共青团湖州学院委员会</w:t>
      </w:r>
    </w:p>
    <w:p w14:paraId="1CB255E0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年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9 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p w14:paraId="009538BD"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Calibri" w:hAnsi="Calibri" w:eastAsia="仿宋_GB2312" w:cs="Calibri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Calibri" w:hAnsi="Calibri" w:eastAsia="仿宋_GB2312" w:cs="Calibri"/>
          <w:sz w:val="32"/>
          <w:szCs w:val="32"/>
        </w:rPr>
        <w:t> </w:t>
      </w:r>
    </w:p>
    <w:p w14:paraId="3BA87412">
      <w:pPr>
        <w:rPr>
          <w:rFonts w:ascii="Times New Roman" w:eastAsia="楷体_GB2312"/>
          <w:sz w:val="34"/>
          <w:szCs w:val="34"/>
        </w:rPr>
      </w:pPr>
      <w:r>
        <w:rPr>
          <w:rFonts w:hint="default" w:ascii="Times New Roman" w:eastAsia="楷体_GB2312"/>
          <w:sz w:val="34"/>
          <w:szCs w:val="34"/>
        </w:rPr>
        <w:t>附件</w:t>
      </w:r>
      <w:r>
        <w:rPr>
          <w:rFonts w:ascii="Times New Roman" w:eastAsia="楷体_GB2312"/>
          <w:sz w:val="34"/>
          <w:szCs w:val="34"/>
        </w:rPr>
        <w:t>1</w:t>
      </w:r>
    </w:p>
    <w:p w14:paraId="1D88EBC6">
      <w:pPr>
        <w:jc w:val="center"/>
        <w:rPr>
          <w:rFonts w:hint="default" w:ascii="Times New Roman" w:hAnsi="Times New Roman" w:eastAsia="黑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黑体" w:cs="Times New Roman"/>
          <w:b/>
          <w:bCs/>
          <w:sz w:val="40"/>
          <w:szCs w:val="40"/>
        </w:rPr>
        <w:t>“挑战杯”大学生创业计划竞赛作品申报书</w:t>
      </w:r>
    </w:p>
    <w:p w14:paraId="1D1C6F6B">
      <w:pPr>
        <w:jc w:val="center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（校级竞赛参赛作品）</w:t>
      </w:r>
    </w:p>
    <w:p w14:paraId="1CA82DEC">
      <w:pPr>
        <w:spacing w:line="400" w:lineRule="exact"/>
        <w:jc w:val="left"/>
        <w:rPr>
          <w:rFonts w:hint="default"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作品编号：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>（由参赛高校自行按数字顺序填写）</w:t>
      </w: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005"/>
        <w:gridCol w:w="912"/>
        <w:gridCol w:w="60"/>
        <w:gridCol w:w="912"/>
        <w:gridCol w:w="450"/>
        <w:gridCol w:w="630"/>
        <w:gridCol w:w="1014"/>
        <w:gridCol w:w="1761"/>
      </w:tblGrid>
      <w:tr w14:paraId="137CD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436" w:type="dxa"/>
            <w:vAlign w:val="center"/>
          </w:tcPr>
          <w:p w14:paraId="5780CC6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所在省</w:t>
            </w:r>
          </w:p>
          <w:p w14:paraId="6DBBEC5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（区、市）</w:t>
            </w:r>
          </w:p>
        </w:tc>
        <w:tc>
          <w:tcPr>
            <w:tcW w:w="1977" w:type="dxa"/>
            <w:gridSpan w:val="3"/>
            <w:vAlign w:val="center"/>
          </w:tcPr>
          <w:p w14:paraId="40B67E7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vAlign w:val="center"/>
          </w:tcPr>
          <w:p w14:paraId="67BDCA0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学校名称</w:t>
            </w:r>
          </w:p>
          <w:p w14:paraId="752388C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（全称）</w:t>
            </w:r>
          </w:p>
        </w:tc>
        <w:tc>
          <w:tcPr>
            <w:tcW w:w="2775" w:type="dxa"/>
            <w:gridSpan w:val="2"/>
            <w:vAlign w:val="center"/>
          </w:tcPr>
          <w:p w14:paraId="5084FC6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6085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36" w:type="dxa"/>
            <w:vAlign w:val="center"/>
          </w:tcPr>
          <w:p w14:paraId="1C8C993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项目名称</w:t>
            </w:r>
          </w:p>
        </w:tc>
        <w:tc>
          <w:tcPr>
            <w:tcW w:w="6744" w:type="dxa"/>
            <w:gridSpan w:val="8"/>
            <w:vAlign w:val="center"/>
          </w:tcPr>
          <w:p w14:paraId="7D294C5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008C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exact"/>
          <w:jc w:val="center"/>
        </w:trPr>
        <w:tc>
          <w:tcPr>
            <w:tcW w:w="2436" w:type="dxa"/>
            <w:vAlign w:val="center"/>
          </w:tcPr>
          <w:p w14:paraId="1C1D48E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</w:t>
            </w:r>
            <w:r>
              <w:rPr>
                <w:rFonts w:hint="default" w:eastAsia="仿宋_GB2312" w:cs="Times New Roman"/>
                <w:sz w:val="28"/>
                <w:szCs w:val="28"/>
              </w:rPr>
              <w:t>组别</w:t>
            </w:r>
          </w:p>
        </w:tc>
        <w:tc>
          <w:tcPr>
            <w:tcW w:w="6744" w:type="dxa"/>
            <w:gridSpan w:val="8"/>
            <w:vAlign w:val="center"/>
          </w:tcPr>
          <w:p w14:paraId="01ECE132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I. 普通高校</w:t>
            </w:r>
            <w:r>
              <w:rPr>
                <w:rFonts w:hint="default" w:eastAsia="仿宋_GB2312" w:cs="Times New Roman"/>
                <w:sz w:val="28"/>
                <w:szCs w:val="28"/>
              </w:rPr>
              <w:t>组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II. 职业院校</w:t>
            </w:r>
            <w:r>
              <w:rPr>
                <w:rFonts w:hint="default" w:eastAsia="仿宋_GB2312" w:cs="Times New Roman"/>
                <w:sz w:val="28"/>
                <w:szCs w:val="28"/>
              </w:rPr>
              <w:t>组</w:t>
            </w:r>
          </w:p>
        </w:tc>
      </w:tr>
      <w:tr w14:paraId="61F02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exact"/>
          <w:jc w:val="center"/>
        </w:trPr>
        <w:tc>
          <w:tcPr>
            <w:tcW w:w="2436" w:type="dxa"/>
            <w:vAlign w:val="center"/>
          </w:tcPr>
          <w:p w14:paraId="30E56AB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</w:t>
            </w:r>
            <w:r>
              <w:rPr>
                <w:rFonts w:hint="default" w:eastAsia="仿宋_GB2312" w:cs="Times New Roman"/>
                <w:sz w:val="28"/>
                <w:szCs w:val="28"/>
              </w:rPr>
              <w:t>类别方向</w:t>
            </w:r>
          </w:p>
        </w:tc>
        <w:tc>
          <w:tcPr>
            <w:tcW w:w="6744" w:type="dxa"/>
            <w:gridSpan w:val="8"/>
            <w:vAlign w:val="center"/>
          </w:tcPr>
          <w:p w14:paraId="7251070C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A. 科技创新和未来产业</w:t>
            </w:r>
          </w:p>
          <w:p w14:paraId="23A58CF3">
            <w:pPr>
              <w:spacing w:line="400" w:lineRule="exact"/>
              <w:jc w:val="left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B. 乡村振兴和</w:t>
            </w:r>
            <w:r>
              <w:rPr>
                <w:rFonts w:hint="default" w:eastAsia="仿宋_GB2312" w:cs="Times New Roman"/>
                <w:sz w:val="28"/>
                <w:szCs w:val="28"/>
              </w:rPr>
              <w:t>农业农村现代化</w:t>
            </w:r>
          </w:p>
          <w:p w14:paraId="6E2900CA"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C. </w:t>
            </w: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社会治理和公共服务</w:t>
            </w:r>
          </w:p>
          <w:p w14:paraId="7E0AC226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D. 生态环保和可持续发展</w:t>
            </w:r>
          </w:p>
          <w:p w14:paraId="425B6B4E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E. 文化创意和区域合作</w:t>
            </w:r>
          </w:p>
        </w:tc>
      </w:tr>
      <w:tr w14:paraId="53F32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2436" w:type="dxa"/>
            <w:vMerge w:val="restart"/>
            <w:vAlign w:val="center"/>
          </w:tcPr>
          <w:p w14:paraId="4E99ED3A">
            <w:pPr>
              <w:spacing w:line="400" w:lineRule="exact"/>
              <w:jc w:val="center"/>
              <w:rPr>
                <w:rFonts w:hint="default" w:eastAsia="仿宋_GB2312" w:cs="Times New Roman"/>
                <w:sz w:val="24"/>
                <w:szCs w:val="24"/>
              </w:rPr>
            </w:pPr>
            <w:r>
              <w:rPr>
                <w:rFonts w:hint="default" w:eastAsia="仿宋_GB2312" w:cs="Times New Roman"/>
                <w:sz w:val="24"/>
                <w:szCs w:val="24"/>
              </w:rPr>
              <w:t>工商注册、融资、</w:t>
            </w:r>
          </w:p>
          <w:p w14:paraId="05047B3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4"/>
                <w:szCs w:val="24"/>
              </w:rPr>
              <w:t>享受创业资助情况</w:t>
            </w:r>
          </w:p>
        </w:tc>
        <w:tc>
          <w:tcPr>
            <w:tcW w:w="3339" w:type="dxa"/>
            <w:gridSpan w:val="5"/>
            <w:vAlign w:val="center"/>
          </w:tcPr>
          <w:p w14:paraId="03A034B7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工商注册（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75185E9A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法人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姓名</w:t>
            </w:r>
            <w:r>
              <w:rPr>
                <w:rFonts w:hint="default" w:eastAsia="仿宋_GB2312" w:cs="Times New Roman"/>
                <w:sz w:val="21"/>
                <w:szCs w:val="21"/>
              </w:rPr>
              <w:t>：</w:t>
            </w:r>
          </w:p>
        </w:tc>
        <w:tc>
          <w:tcPr>
            <w:tcW w:w="3405" w:type="dxa"/>
            <w:gridSpan w:val="3"/>
            <w:vAlign w:val="center"/>
          </w:tcPr>
          <w:p w14:paraId="6F8D909B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完成融资（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2E3D36A7"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融资</w:t>
            </w:r>
            <w:r>
              <w:rPr>
                <w:rFonts w:hint="default" w:eastAsia="仿宋_GB2312" w:cs="Times New Roman"/>
                <w:sz w:val="21"/>
                <w:szCs w:val="21"/>
              </w:rPr>
              <w:t>金额：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万</w:t>
            </w:r>
          </w:p>
        </w:tc>
      </w:tr>
      <w:tr w14:paraId="4CB4A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  <w:jc w:val="center"/>
        </w:trPr>
        <w:tc>
          <w:tcPr>
            <w:tcW w:w="2436" w:type="dxa"/>
            <w:vMerge w:val="continue"/>
            <w:vAlign w:val="center"/>
          </w:tcPr>
          <w:p w14:paraId="55FA595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339" w:type="dxa"/>
            <w:gridSpan w:val="5"/>
            <w:vAlign w:val="center"/>
          </w:tcPr>
          <w:p w14:paraId="09BA07A5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校级资助（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138D1414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资助</w:t>
            </w:r>
            <w:r>
              <w:rPr>
                <w:rFonts w:hint="default" w:eastAsia="仿宋_GB2312" w:cs="Times New Roman"/>
                <w:sz w:val="21"/>
                <w:szCs w:val="21"/>
              </w:rPr>
              <w:t>金额：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万</w:t>
            </w:r>
          </w:p>
        </w:tc>
        <w:tc>
          <w:tcPr>
            <w:tcW w:w="3405" w:type="dxa"/>
            <w:gridSpan w:val="3"/>
            <w:vAlign w:val="center"/>
          </w:tcPr>
          <w:p w14:paraId="390B65DF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市级资助（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180729FC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资助</w:t>
            </w:r>
            <w:r>
              <w:rPr>
                <w:rFonts w:hint="default" w:eastAsia="仿宋_GB2312" w:cs="Times New Roman"/>
                <w:sz w:val="21"/>
                <w:szCs w:val="21"/>
              </w:rPr>
              <w:t>金额：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万</w:t>
            </w:r>
          </w:p>
        </w:tc>
      </w:tr>
      <w:tr w14:paraId="75FD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  <w:jc w:val="center"/>
        </w:trPr>
        <w:tc>
          <w:tcPr>
            <w:tcW w:w="2436" w:type="dxa"/>
            <w:vMerge w:val="continue"/>
            <w:vAlign w:val="center"/>
          </w:tcPr>
          <w:p w14:paraId="20EA5C26">
            <w:pPr>
              <w:spacing w:line="400" w:lineRule="exact"/>
              <w:jc w:val="center"/>
              <w:rPr>
                <w:rFonts w:hint="default" w:eastAsia="仿宋_GB2312" w:cs="Times New Roman"/>
                <w:sz w:val="24"/>
                <w:szCs w:val="24"/>
              </w:rPr>
            </w:pPr>
          </w:p>
        </w:tc>
        <w:tc>
          <w:tcPr>
            <w:tcW w:w="3339" w:type="dxa"/>
            <w:gridSpan w:val="5"/>
            <w:vAlign w:val="center"/>
          </w:tcPr>
          <w:p w14:paraId="2DCB7BEC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省级资助（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0AC5A723">
            <w:pPr>
              <w:spacing w:line="400" w:lineRule="exact"/>
              <w:jc w:val="left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资助</w:t>
            </w:r>
            <w:r>
              <w:rPr>
                <w:rFonts w:hint="default" w:eastAsia="仿宋_GB2312" w:cs="Times New Roman"/>
                <w:sz w:val="21"/>
                <w:szCs w:val="21"/>
              </w:rPr>
              <w:t>金额：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万</w:t>
            </w:r>
          </w:p>
        </w:tc>
        <w:tc>
          <w:tcPr>
            <w:tcW w:w="3405" w:type="dxa"/>
            <w:gridSpan w:val="3"/>
            <w:vAlign w:val="center"/>
          </w:tcPr>
          <w:p w14:paraId="32836FF7">
            <w:pPr>
              <w:spacing w:line="400" w:lineRule="exact"/>
              <w:jc w:val="left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default" w:eastAsia="仿宋_GB2312" w:cs="Times New Roman"/>
                <w:sz w:val="21"/>
                <w:szCs w:val="21"/>
              </w:rPr>
              <w:t>国家级资助（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是</w:t>
            </w:r>
            <w:r>
              <w:rPr>
                <w:rFonts w:hint="default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default" w:eastAsia="仿宋_GB2312" w:cs="Times New Roman"/>
                <w:sz w:val="21"/>
                <w:szCs w:val="21"/>
              </w:rPr>
              <w:t>否）</w:t>
            </w:r>
          </w:p>
          <w:p w14:paraId="79711652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资助</w:t>
            </w:r>
            <w:r>
              <w:rPr>
                <w:rFonts w:hint="default" w:eastAsia="仿宋_GB2312" w:cs="Times New Roman"/>
                <w:sz w:val="21"/>
                <w:szCs w:val="21"/>
              </w:rPr>
              <w:t>金额：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万</w:t>
            </w:r>
          </w:p>
        </w:tc>
      </w:tr>
      <w:tr w14:paraId="53FA7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9180" w:type="dxa"/>
            <w:gridSpan w:val="9"/>
            <w:vAlign w:val="center"/>
          </w:tcPr>
          <w:p w14:paraId="5D554A00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团队成员信息</w:t>
            </w:r>
          </w:p>
          <w:p w14:paraId="0B5F52C0">
            <w:pPr>
              <w:spacing w:line="400" w:lineRule="exact"/>
              <w:jc w:val="center"/>
              <w:rPr>
                <w:rFonts w:hint="default" w:eastAsia="仿宋_GB2312" w:cs="Times New Roman"/>
                <w:sz w:val="21"/>
                <w:szCs w:val="21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（不少于6人且不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多于</w:t>
            </w:r>
            <w:r>
              <w:rPr>
                <w:rFonts w:hint="eastAsia" w:eastAsia="仿宋_GB2312" w:cs="Times New Roman"/>
                <w:sz w:val="21"/>
                <w:szCs w:val="21"/>
                <w:lang w:eastAsia="zh-CN"/>
              </w:rPr>
              <w:t>15人）</w:t>
            </w:r>
          </w:p>
        </w:tc>
      </w:tr>
      <w:tr w14:paraId="24867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Merge w:val="restart"/>
            <w:vAlign w:val="center"/>
          </w:tcPr>
          <w:p w14:paraId="45FEBE92">
            <w:pPr>
              <w:spacing w:line="400" w:lineRule="exact"/>
              <w:jc w:val="center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1</w:t>
            </w:r>
          </w:p>
          <w:p w14:paraId="0EFB66CC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default" w:eastAsia="仿宋_GB2312" w:cs="Times New Roman"/>
                <w:sz w:val="28"/>
                <w:szCs w:val="28"/>
              </w:rPr>
              <w:t>负责人</w:t>
            </w: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05" w:type="dxa"/>
            <w:vAlign w:val="center"/>
          </w:tcPr>
          <w:p w14:paraId="15399E6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082C596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291D5A2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4D33777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1192611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2872963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8759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2436" w:type="dxa"/>
            <w:vMerge w:val="continue"/>
            <w:vAlign w:val="center"/>
          </w:tcPr>
          <w:p w14:paraId="06D9176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101A718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7F13082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29140D0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672CD3F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56FDB0A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713D562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F75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7F9ABEE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8A8B8F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0A0BA7A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7C12E42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585C1D4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3BF0BD0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74B8027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B30A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5F702ED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744" w:type="dxa"/>
            <w:gridSpan w:val="8"/>
            <w:vAlign w:val="center"/>
          </w:tcPr>
          <w:p w14:paraId="35D34A4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企业法人</w:t>
            </w:r>
            <w:r>
              <w:rPr>
                <w:rFonts w:hint="default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eastAsia="仿宋_GB2312" w:cs="Times New Roman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eastAsia="仿宋_GB2312" w:cs="Times New Roman"/>
                <w:sz w:val="28"/>
                <w:szCs w:val="28"/>
                <w:lang w:eastAsia="zh-CN"/>
              </w:rPr>
              <w:t>是</w:t>
            </w:r>
            <w:r>
              <w:rPr>
                <w:rFonts w:hint="default" w:eastAsia="仿宋_GB2312" w:cs="Times New Roman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eastAsia="仿宋_GB2312" w:cs="Times New Roman"/>
                <w:sz w:val="28"/>
                <w:szCs w:val="28"/>
                <w:lang w:eastAsia="zh-CN"/>
              </w:rPr>
              <w:t>否）</w:t>
            </w:r>
          </w:p>
        </w:tc>
      </w:tr>
      <w:tr w14:paraId="24DE0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restart"/>
            <w:vAlign w:val="center"/>
          </w:tcPr>
          <w:p w14:paraId="31EFE7E3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05" w:type="dxa"/>
            <w:vAlign w:val="center"/>
          </w:tcPr>
          <w:p w14:paraId="5EFC7CE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5930731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8873BC6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315779F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06CFC760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26FE516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C478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0A3533E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5046587C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269F40A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3D9CDFFD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65BA6DF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1C710C5B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49E992E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A917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693F7B0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5923CA37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3DDB6C5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434588AC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77B7EDF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26772680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423C052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629E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restart"/>
            <w:vAlign w:val="center"/>
          </w:tcPr>
          <w:p w14:paraId="39D76158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05" w:type="dxa"/>
            <w:vAlign w:val="center"/>
          </w:tcPr>
          <w:p w14:paraId="3A192E37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0F59635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7D854D02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54B899A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11DFFE52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668CE75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A7E5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0708AA7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17D787A3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522C741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3E8BC08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51E61FC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250A0330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1AB808D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3543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0D9FE49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E5B1F1F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3610E99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563ABD5C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3432D5B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360C5A28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33315F6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6B33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7" w:hRule="exact"/>
          <w:jc w:val="center"/>
        </w:trPr>
        <w:tc>
          <w:tcPr>
            <w:tcW w:w="2436" w:type="dxa"/>
            <w:vMerge w:val="restart"/>
            <w:vAlign w:val="center"/>
          </w:tcPr>
          <w:p w14:paraId="2CA68753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005" w:type="dxa"/>
            <w:vAlign w:val="center"/>
          </w:tcPr>
          <w:p w14:paraId="0650ED1D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05CFDF1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182E5A51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1DCE886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1F822FF9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50F71CE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8974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33E200C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41A4965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358A8FA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326745C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57FCEB5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375FA259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4497459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52B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44DCFC5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7D7ECA3B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28D3601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4C44B71F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1671DB4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45E44BE4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41D0679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F7B1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restart"/>
            <w:vAlign w:val="center"/>
          </w:tcPr>
          <w:p w14:paraId="1A4811C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05" w:type="dxa"/>
            <w:vAlign w:val="center"/>
          </w:tcPr>
          <w:p w14:paraId="09D1EA46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2498AAC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6782B9C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081CB63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78E5C40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083C418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7DE8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206CA1B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72B65690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358358A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7F01315F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68AEE9F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60E45F95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19D6CA0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E4E0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3D3AB24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12FBFADB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46F242F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1C365E3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154A925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5992C603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46AA52C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DE5B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7" w:hRule="exact"/>
          <w:jc w:val="center"/>
        </w:trPr>
        <w:tc>
          <w:tcPr>
            <w:tcW w:w="2436" w:type="dxa"/>
            <w:vMerge w:val="restart"/>
            <w:vAlign w:val="center"/>
          </w:tcPr>
          <w:p w14:paraId="6DDAC84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团队成员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005" w:type="dxa"/>
            <w:vAlign w:val="center"/>
          </w:tcPr>
          <w:p w14:paraId="64BFCF49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2C6582E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0F8D56B8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33F171E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253105D6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在读学历</w:t>
            </w:r>
          </w:p>
        </w:tc>
        <w:tc>
          <w:tcPr>
            <w:tcW w:w="1761" w:type="dxa"/>
            <w:vAlign w:val="center"/>
          </w:tcPr>
          <w:p w14:paraId="7CC719D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9C8D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5D24E4F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53FA21E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912" w:type="dxa"/>
            <w:vAlign w:val="center"/>
          </w:tcPr>
          <w:p w14:paraId="094507E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7D6C1E1D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080" w:type="dxa"/>
            <w:gridSpan w:val="2"/>
            <w:vAlign w:val="center"/>
          </w:tcPr>
          <w:p w14:paraId="25955C9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053E991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年级</w:t>
            </w:r>
          </w:p>
        </w:tc>
        <w:tc>
          <w:tcPr>
            <w:tcW w:w="1761" w:type="dxa"/>
            <w:vAlign w:val="center"/>
          </w:tcPr>
          <w:p w14:paraId="4B94E4C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2EAE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436" w:type="dxa"/>
            <w:vMerge w:val="continue"/>
            <w:vAlign w:val="center"/>
          </w:tcPr>
          <w:p w14:paraId="3066BAD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038601CF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学号</w:t>
            </w:r>
          </w:p>
        </w:tc>
        <w:tc>
          <w:tcPr>
            <w:tcW w:w="912" w:type="dxa"/>
            <w:vAlign w:val="center"/>
          </w:tcPr>
          <w:p w14:paraId="4498481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4035F4A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14:paraId="4D74DC1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7528EAB4">
            <w:pPr>
              <w:spacing w:line="400" w:lineRule="exact"/>
              <w:jc w:val="center"/>
              <w:rPr>
                <w:rFonts w:hint="default" w:eastAsia="仿宋_GB2312" w:cs="Times New Roman"/>
                <w:sz w:val="28"/>
                <w:szCs w:val="28"/>
              </w:rPr>
            </w:pPr>
            <w:r>
              <w:rPr>
                <w:rFonts w:hint="default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61" w:type="dxa"/>
            <w:vAlign w:val="center"/>
          </w:tcPr>
          <w:p w14:paraId="1F8B438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F2E6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2436" w:type="dxa"/>
            <w:vMerge w:val="restart"/>
            <w:vAlign w:val="center"/>
          </w:tcPr>
          <w:p w14:paraId="4691562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指导教师</w:t>
            </w:r>
          </w:p>
          <w:p w14:paraId="10DC426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（不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多于5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人）</w:t>
            </w:r>
          </w:p>
        </w:tc>
        <w:tc>
          <w:tcPr>
            <w:tcW w:w="1005" w:type="dxa"/>
            <w:vAlign w:val="center"/>
          </w:tcPr>
          <w:p w14:paraId="3819B4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912" w:type="dxa"/>
            <w:vAlign w:val="center"/>
          </w:tcPr>
          <w:p w14:paraId="5EDE0C5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972" w:type="dxa"/>
            <w:gridSpan w:val="2"/>
            <w:vAlign w:val="center"/>
          </w:tcPr>
          <w:p w14:paraId="03CF060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</w:p>
        </w:tc>
        <w:tc>
          <w:tcPr>
            <w:tcW w:w="1080" w:type="dxa"/>
            <w:gridSpan w:val="2"/>
            <w:vAlign w:val="center"/>
          </w:tcPr>
          <w:p w14:paraId="4ED6D90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1014" w:type="dxa"/>
            <w:vAlign w:val="center"/>
          </w:tcPr>
          <w:p w14:paraId="67C665E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761" w:type="dxa"/>
            <w:vAlign w:val="center"/>
          </w:tcPr>
          <w:p w14:paraId="57FAEFB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</w:tr>
      <w:tr w14:paraId="35C0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2436" w:type="dxa"/>
            <w:vMerge w:val="continue"/>
            <w:vAlign w:val="center"/>
          </w:tcPr>
          <w:p w14:paraId="5D3DC76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29224A4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2" w:type="dxa"/>
            <w:vAlign w:val="center"/>
          </w:tcPr>
          <w:p w14:paraId="324A629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0F98FC1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445528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663F3CC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14:paraId="550F9FE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53CC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  <w:jc w:val="center"/>
        </w:trPr>
        <w:tc>
          <w:tcPr>
            <w:tcW w:w="2436" w:type="dxa"/>
            <w:vMerge w:val="continue"/>
            <w:vAlign w:val="center"/>
          </w:tcPr>
          <w:p w14:paraId="0E7CB9F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1C09F89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2" w:type="dxa"/>
            <w:vAlign w:val="center"/>
          </w:tcPr>
          <w:p w14:paraId="02FC080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66D82C1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A2094A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0F00778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14:paraId="7F8D6F7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1E0E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  <w:jc w:val="center"/>
        </w:trPr>
        <w:tc>
          <w:tcPr>
            <w:tcW w:w="2436" w:type="dxa"/>
            <w:vMerge w:val="continue"/>
            <w:vAlign w:val="center"/>
          </w:tcPr>
          <w:p w14:paraId="5AAB96C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7CB9271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2" w:type="dxa"/>
            <w:vAlign w:val="center"/>
          </w:tcPr>
          <w:p w14:paraId="6908B79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vAlign w:val="center"/>
          </w:tcPr>
          <w:p w14:paraId="303B7C3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5E2E79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 w14:paraId="6A17037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14:paraId="54155FB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556D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exact"/>
          <w:jc w:val="center"/>
        </w:trPr>
        <w:tc>
          <w:tcPr>
            <w:tcW w:w="2436" w:type="dxa"/>
            <w:vAlign w:val="center"/>
          </w:tcPr>
          <w:p w14:paraId="19CDF1F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项目简介</w:t>
            </w:r>
          </w:p>
          <w:p w14:paraId="19929AA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3421329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6C8C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28" w:hRule="exact"/>
          <w:jc w:val="center"/>
        </w:trPr>
        <w:tc>
          <w:tcPr>
            <w:tcW w:w="2436" w:type="dxa"/>
            <w:vAlign w:val="center"/>
          </w:tcPr>
          <w:p w14:paraId="39F1BA9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社会价值</w:t>
            </w:r>
          </w:p>
          <w:p w14:paraId="23F0375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1E93B2D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57D1807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30E6086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1A4CC268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6E41EEE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4BD67F5C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574AB0D3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1B38C72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F990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exact"/>
          <w:jc w:val="center"/>
        </w:trPr>
        <w:tc>
          <w:tcPr>
            <w:tcW w:w="2436" w:type="dxa"/>
            <w:vAlign w:val="center"/>
          </w:tcPr>
          <w:p w14:paraId="2F4326A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实践过程</w:t>
            </w:r>
          </w:p>
          <w:p w14:paraId="7DE8225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6D8797A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3F2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exact"/>
          <w:jc w:val="center"/>
        </w:trPr>
        <w:tc>
          <w:tcPr>
            <w:tcW w:w="2436" w:type="dxa"/>
            <w:vAlign w:val="center"/>
          </w:tcPr>
          <w:p w14:paraId="6C3E866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创新意义</w:t>
            </w:r>
          </w:p>
          <w:p w14:paraId="3F9E109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6587169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D489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exact"/>
          <w:jc w:val="center"/>
        </w:trPr>
        <w:tc>
          <w:tcPr>
            <w:tcW w:w="2436" w:type="dxa"/>
            <w:vAlign w:val="center"/>
          </w:tcPr>
          <w:p w14:paraId="18DC78B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发展前景</w:t>
            </w:r>
          </w:p>
          <w:p w14:paraId="15229EE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44727AE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49AA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exact"/>
          <w:jc w:val="center"/>
        </w:trPr>
        <w:tc>
          <w:tcPr>
            <w:tcW w:w="2436" w:type="dxa"/>
            <w:vAlign w:val="center"/>
          </w:tcPr>
          <w:p w14:paraId="786744E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团队协作</w:t>
            </w:r>
          </w:p>
          <w:p w14:paraId="16FD4A7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（500字以内）</w:t>
            </w:r>
          </w:p>
        </w:tc>
        <w:tc>
          <w:tcPr>
            <w:tcW w:w="6744" w:type="dxa"/>
            <w:gridSpan w:val="8"/>
            <w:vAlign w:val="center"/>
          </w:tcPr>
          <w:p w14:paraId="5995926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066DA1DC">
      <w:pPr>
        <w:numPr>
          <w:ilvl w:val="0"/>
          <w:numId w:val="0"/>
        </w:numPr>
        <w:spacing w:line="400" w:lineRule="exact"/>
        <w:rPr>
          <w:rFonts w:eastAsia="仿宋_GB2312"/>
          <w:color w:val="000000"/>
          <w:sz w:val="34"/>
          <w:szCs w:val="34"/>
        </w:rPr>
      </w:pPr>
      <w:r>
        <w:rPr>
          <w:rFonts w:hint="default" w:ascii="Times New Roman" w:hAnsi="Times New Roman" w:eastAsia="仿宋_GB2312" w:cs="Times New Roman"/>
          <w:spacing w:val="-23"/>
          <w:sz w:val="28"/>
          <w:szCs w:val="28"/>
        </w:rPr>
        <w:t>备注：</w:t>
      </w:r>
      <w:r>
        <w:rPr>
          <w:rFonts w:hint="default" w:ascii="Times New Roman" w:hAnsi="Times New Roman" w:eastAsia="仿宋_GB2312" w:cs="Times New Roman"/>
          <w:spacing w:val="-23"/>
          <w:sz w:val="28"/>
          <w:szCs w:val="28"/>
          <w:lang w:eastAsia="zh-CN"/>
        </w:rPr>
        <w:t>作品文本包括20页</w:t>
      </w:r>
      <w:r>
        <w:rPr>
          <w:rFonts w:hint="eastAsia" w:eastAsia="仿宋_GB2312" w:cs="Times New Roman"/>
          <w:spacing w:val="-23"/>
          <w:sz w:val="28"/>
          <w:szCs w:val="28"/>
          <w:lang w:val="en-US" w:eastAsia="zh-CN"/>
        </w:rPr>
        <w:t>以内的</w:t>
      </w:r>
      <w:r>
        <w:rPr>
          <w:rFonts w:hint="default" w:ascii="Times New Roman" w:hAnsi="Times New Roman" w:eastAsia="仿宋_GB2312" w:cs="Times New Roman"/>
          <w:spacing w:val="-23"/>
          <w:sz w:val="28"/>
          <w:szCs w:val="28"/>
          <w:lang w:eastAsia="zh-CN"/>
        </w:rPr>
        <w:t>ppt介绍材料和20页</w:t>
      </w:r>
      <w:r>
        <w:rPr>
          <w:rFonts w:hint="eastAsia" w:eastAsia="仿宋_GB2312" w:cs="Times New Roman"/>
          <w:spacing w:val="-23"/>
          <w:sz w:val="28"/>
          <w:szCs w:val="28"/>
          <w:lang w:val="en-US" w:eastAsia="zh-CN"/>
        </w:rPr>
        <w:t>以内的</w:t>
      </w:r>
      <w:r>
        <w:rPr>
          <w:rFonts w:hint="default" w:ascii="Times New Roman" w:hAnsi="Times New Roman" w:eastAsia="仿宋_GB2312" w:cs="Times New Roman"/>
          <w:spacing w:val="-23"/>
          <w:sz w:val="28"/>
          <w:szCs w:val="28"/>
          <w:lang w:eastAsia="zh-CN"/>
        </w:rPr>
        <w:t>佐证材料（封面、封底、目录均计入总页数）。</w:t>
      </w:r>
    </w:p>
    <w:p w14:paraId="285EEE0E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黑体" w:hAnsi="黑体" w:eastAsia="黑体" w:cs="仿宋"/>
          <w:b/>
          <w:bCs/>
          <w:color w:val="333333"/>
          <w:sz w:val="32"/>
          <w:szCs w:val="32"/>
        </w:rPr>
      </w:pPr>
    </w:p>
    <w:p w14:paraId="32707626">
      <w:pPr>
        <w:rPr>
          <w:rFonts w:hint="default" w:ascii="Times New Roman" w:eastAsia="楷体_GB2312"/>
          <w:sz w:val="34"/>
          <w:szCs w:val="34"/>
        </w:rPr>
        <w:sectPr>
          <w:pgSz w:w="11906" w:h="16838"/>
          <w:pgMar w:top="1361" w:right="1417" w:bottom="1417" w:left="1361" w:header="851" w:footer="992" w:gutter="0"/>
          <w:cols w:space="425" w:num="1"/>
          <w:docGrid w:type="lines" w:linePitch="312" w:charSpace="0"/>
        </w:sectPr>
      </w:pPr>
    </w:p>
    <w:p w14:paraId="55D1D19F">
      <w:pPr>
        <w:rPr>
          <w:rFonts w:hint="eastAsia" w:ascii="Times New Roman" w:eastAsia="楷体_GB2312"/>
          <w:sz w:val="34"/>
          <w:szCs w:val="34"/>
          <w:lang w:eastAsia="zh-CN"/>
        </w:rPr>
      </w:pPr>
      <w:r>
        <w:rPr>
          <w:rFonts w:hint="default" w:ascii="Times New Roman" w:eastAsia="楷体_GB2312"/>
          <w:sz w:val="34"/>
          <w:szCs w:val="34"/>
        </w:rPr>
        <w:t>附件</w:t>
      </w:r>
      <w:r>
        <w:rPr>
          <w:rFonts w:hint="eastAsia" w:ascii="Times New Roman" w:eastAsia="楷体_GB2312"/>
          <w:sz w:val="34"/>
          <w:szCs w:val="34"/>
          <w:lang w:val="en-US" w:eastAsia="zh-CN"/>
        </w:rPr>
        <w:t>3</w:t>
      </w:r>
    </w:p>
    <w:p w14:paraId="796F62D2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w w:val="9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444444"/>
          <w:w w:val="90"/>
          <w:sz w:val="44"/>
          <w:szCs w:val="44"/>
        </w:rPr>
        <w:t>“挑战杯”大学生创业计划竞赛文本比赛评分</w:t>
      </w:r>
      <w:r>
        <w:rPr>
          <w:rFonts w:hint="eastAsia" w:ascii="方正小标宋简体" w:hAnsi="方正小标宋简体" w:eastAsia="方正小标宋简体" w:cs="方正小标宋简体"/>
          <w:color w:val="444444"/>
          <w:w w:val="90"/>
          <w:sz w:val="44"/>
          <w:szCs w:val="44"/>
          <w:lang w:val="en-US" w:eastAsia="zh-CN"/>
        </w:rPr>
        <w:t>要点</w:t>
      </w:r>
    </w:p>
    <w:p w14:paraId="14FA6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DC0B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1.社会价值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：项目结合社会实践、社会观察，履行社会责任的做法与成效。在科技创新、扶贫助困、社会民生、生态环保、交流合作等方面的社会贡献度。未来在持续吸纳、带动就业的能力等。</w:t>
      </w:r>
    </w:p>
    <w:p w14:paraId="3AAC7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2.实践导向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：项目通过深入社会、行业、实验场所、实训基地，开展调查研究、试点运营、试验论证，获得实践成果。项目成果对于了解社会现状、掌握第一手资料、解决社会问题等具有参考价值。</w:t>
      </w:r>
    </w:p>
    <w:p w14:paraId="3DF54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3.创新意义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：项目在科学技术、社会服务形式、商业模式、管理运营、应用场景等方面的创新程度。创新成果对于赋能传统产业、解决社会问题，助力形成新产业、新业态、新模式有积极意义。</w:t>
      </w:r>
    </w:p>
    <w:p w14:paraId="358B1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4.发展前景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：项目在商业模式、营销策略、财务管理、发展战略等方面设计完整、合理、可行。目标定位、市场分析清晰、有前瞻性。盈利能力推导过程合理，能够实现可持续发展、前景乐观。</w:t>
      </w:r>
    </w:p>
    <w:p w14:paraId="4664F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5.团队协作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团队成员了解社会现状、关注社会民生，具备一定解决社会问题的能力和水平。团队成员的专业背景、创业意识、创业素质、价值观念与项目需求相匹配。团队组织架构与分工合理，凝聚力、执行力、整体竞争力强。</w:t>
      </w:r>
    </w:p>
    <w:p w14:paraId="326D33A7">
      <w:pPr>
        <w:rPr>
          <w:rFonts w:hint="default"/>
          <w:lang w:val="en-US" w:eastAsia="zh-CN"/>
        </w:rPr>
      </w:pPr>
    </w:p>
    <w:sectPr>
      <w:pgSz w:w="11906" w:h="16838"/>
      <w:pgMar w:top="1928" w:right="1417" w:bottom="198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76DCFC"/>
    <w:multiLevelType w:val="singleLevel"/>
    <w:tmpl w:val="8376DCF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50FF4"/>
    <w:rsid w:val="4DCC430C"/>
    <w:rsid w:val="5A150FF4"/>
    <w:rsid w:val="6EAB66A1"/>
    <w:rsid w:val="7C6E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1766</Words>
  <Characters>1837</Characters>
  <Lines>0</Lines>
  <Paragraphs>0</Paragraphs>
  <TotalTime>12</TotalTime>
  <ScaleCrop>false</ScaleCrop>
  <LinksUpToDate>false</LinksUpToDate>
  <CharactersWithSpaces>1868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2025-09-12T07:25:00Z</dcterms:created>
  <dc:creator>12345</dc:creator>
  <cp:lastModifiedBy>12345</cp:lastModifiedBy>
  <dcterms:modified xsi:type="dcterms:W3CDTF">2025-10-05T07:08:37Z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5A665E4AE0124248BD28852EB9564EE4_11</vt:lpwstr>
  </property>
  <property fmtid="{D5CDD505-2E9C-101B-9397-08002B2CF9AE}" pid="4" name="KSOTemplateDocerSaveRecord">
    <vt:lpwstr>eyJoZGlkIjoiN2QyMmJiYTQ4ZWRmMDA1ZjExZDI1Mzk5MmEzMjM1YTAiLCJ1c2VySWQiOiIyNDAxMDMxNTAifQ==</vt:lpwstr>
  </property>
</Properties>
</file>