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eastAsia="黑体"/>
          <w:color w:val="auto"/>
          <w:sz w:val="32"/>
        </w:rPr>
      </w:pPr>
      <w:r>
        <w:rPr>
          <w:rFonts w:eastAsia="黑体"/>
          <w:color w:val="auto"/>
          <w:sz w:val="32"/>
        </w:rPr>
        <w:t>附件1</w:t>
      </w:r>
    </w:p>
    <w:p>
      <w:pPr>
        <w:pStyle w:val="3"/>
        <w:shd w:val="clear" w:color="auto"/>
        <w:spacing w:before="0" w:beforeAutospacing="0" w:after="0" w:afterAutospacing="0" w:line="640" w:lineRule="exact"/>
        <w:jc w:val="center"/>
        <w:rPr>
          <w:rFonts w:ascii="方正小标宋简体" w:hAnsi="微软雅黑" w:eastAsia="方正小标宋简体"/>
          <w:b w:val="0"/>
          <w:bCs w:val="0"/>
          <w:color w:val="auto"/>
          <w:sz w:val="44"/>
          <w:szCs w:val="44"/>
        </w:rPr>
      </w:pPr>
      <w:bookmarkStart w:id="0" w:name="_GoBack"/>
      <w:r>
        <w:rPr>
          <w:rFonts w:hint="eastAsia" w:ascii="方正小标宋简体" w:hAnsi="微软雅黑" w:eastAsia="方正小标宋简体"/>
          <w:b w:val="0"/>
          <w:bCs w:val="0"/>
          <w:color w:val="auto"/>
          <w:sz w:val="44"/>
          <w:szCs w:val="44"/>
        </w:rPr>
        <w:t>“挑战杯”大学生课外学术科技作品竞赛</w:t>
      </w:r>
    </w:p>
    <w:p>
      <w:pPr>
        <w:pStyle w:val="3"/>
        <w:shd w:val="clear" w:color="auto"/>
        <w:spacing w:before="0" w:beforeAutospacing="0" w:after="0" w:afterAutospacing="0" w:line="640" w:lineRule="exact"/>
        <w:jc w:val="center"/>
        <w:rPr>
          <w:rFonts w:ascii="方正小标宋简体" w:hAnsi="微软雅黑" w:eastAsia="方正小标宋简体"/>
          <w:b w:val="0"/>
          <w:bCs w:val="0"/>
          <w:color w:val="auto"/>
          <w:sz w:val="44"/>
          <w:szCs w:val="44"/>
        </w:rPr>
      </w:pPr>
      <w:r>
        <w:rPr>
          <w:rFonts w:hint="eastAsia" w:ascii="方正小标宋简体" w:hAnsi="微软雅黑" w:eastAsia="方正小标宋简体"/>
          <w:b w:val="0"/>
          <w:bCs w:val="0"/>
          <w:color w:val="auto"/>
          <w:sz w:val="44"/>
          <w:szCs w:val="44"/>
        </w:rPr>
        <w:t>作品申报要求</w:t>
      </w:r>
    </w:p>
    <w:bookmarkEnd w:id="0"/>
    <w:p>
      <w:pPr>
        <w:pStyle w:val="3"/>
        <w:shd w:val="clear" w:color="auto"/>
        <w:spacing w:before="0" w:beforeAutospacing="0" w:after="0" w:afterAutospacing="0" w:line="504" w:lineRule="atLeast"/>
        <w:rPr>
          <w:rFonts w:ascii="仿宋_GB2312" w:hAnsi="微软雅黑" w:eastAsia="仿宋_GB2312"/>
          <w:color w:val="auto"/>
          <w:sz w:val="32"/>
          <w:szCs w:val="32"/>
        </w:rPr>
      </w:pP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auto"/>
          <w:sz w:val="32"/>
          <w:szCs w:val="32"/>
        </w:rPr>
      </w:pPr>
      <w:r>
        <w:rPr>
          <w:rFonts w:hint="eastAsia" w:ascii="仿宋_GB2312" w:hAnsi="微软雅黑" w:eastAsia="仿宋_GB2312"/>
          <w:color w:val="auto"/>
          <w:sz w:val="32"/>
          <w:szCs w:val="32"/>
        </w:rPr>
        <w:t>1.各学院推选的作品主要从</w:t>
      </w:r>
      <w:r>
        <w:rPr>
          <w:rFonts w:hint="eastAsia" w:ascii="仿宋_GB2312" w:hAnsi="微软雅黑" w:eastAsia="仿宋_GB2312"/>
          <w:b/>
          <w:bCs/>
          <w:color w:val="auto"/>
          <w:sz w:val="32"/>
          <w:szCs w:val="32"/>
        </w:rPr>
        <w:t>近两年</w:t>
      </w:r>
      <w:r>
        <w:rPr>
          <w:rFonts w:hint="eastAsia" w:ascii="仿宋_GB2312" w:hAnsi="微软雅黑" w:eastAsia="仿宋_GB2312"/>
          <w:color w:val="auto"/>
          <w:sz w:val="32"/>
          <w:szCs w:val="32"/>
        </w:rPr>
        <w:t>学生科研优秀成果、新苗人才计划已完成项目或已有阶段性成果的作品、暑期社会实践优秀调研论文、科研导师指导的学生作品等其他科技创新成果中挑选。鼓励申报已在各类核心期刊发表或已申请科技发明专利的优秀学术科研成果。</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auto"/>
          <w:sz w:val="32"/>
          <w:szCs w:val="32"/>
        </w:rPr>
      </w:pPr>
      <w:r>
        <w:rPr>
          <w:rFonts w:hint="eastAsia" w:ascii="仿宋_GB2312" w:hAnsi="微软雅黑" w:eastAsia="仿宋_GB2312"/>
          <w:color w:val="auto"/>
          <w:sz w:val="32"/>
          <w:szCs w:val="32"/>
        </w:rPr>
        <w:t>2.参赛作品单件可由不超过3名教师指导完成。</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auto"/>
          <w:sz w:val="32"/>
          <w:szCs w:val="32"/>
        </w:rPr>
      </w:pPr>
      <w:r>
        <w:rPr>
          <w:rFonts w:hint="eastAsia" w:ascii="仿宋_GB2312" w:hAnsi="微软雅黑" w:eastAsia="仿宋_GB2312"/>
          <w:color w:val="auto"/>
          <w:sz w:val="32"/>
          <w:szCs w:val="32"/>
        </w:rPr>
        <w:t>3.申报参赛的作品必须是截至202</w:t>
      </w:r>
      <w:r>
        <w:rPr>
          <w:rFonts w:hint="eastAsia" w:ascii="仿宋_GB2312" w:hAnsi="微软雅黑" w:eastAsia="仿宋_GB2312"/>
          <w:color w:val="auto"/>
          <w:sz w:val="32"/>
          <w:szCs w:val="32"/>
          <w:lang w:val="en-US" w:eastAsia="zh-CN"/>
        </w:rPr>
        <w:t>7</w:t>
      </w:r>
      <w:r>
        <w:rPr>
          <w:rFonts w:hint="eastAsia" w:ascii="仿宋_GB2312" w:hAnsi="微软雅黑" w:eastAsia="仿宋_GB2312"/>
          <w:color w:val="auto"/>
          <w:sz w:val="32"/>
          <w:szCs w:val="32"/>
        </w:rPr>
        <w:t>年6月1日两年以内完成的学生课外学术科技或社会实践成果，可分为个人作品和集体作品。申报个人作品的，申报者必须承担申报作品60%以上的研究工作，作品鉴定证书、专利证书及发表的有关作品的署名作者均应为第一作者，合作者必须是学生且不得超过2人；凡作者为3人及以上的项目或不超过3人，但无法区分第一作者的项目，均须申报集体作品；参赛团队不多于10人，鼓励跨学科、跨专业、跨年级组队。集体作品的作者必须均为学生。凡有合作者的个人作品或集体作品，均按学历最高的作者划分至本专科生或硕士研究生类进行评审。</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auto"/>
          <w:sz w:val="32"/>
          <w:szCs w:val="32"/>
        </w:rPr>
      </w:pPr>
      <w:r>
        <w:rPr>
          <w:rFonts w:ascii="仿宋_GB2312" w:hAnsi="微软雅黑" w:eastAsia="仿宋_GB2312"/>
          <w:color w:val="auto"/>
          <w:sz w:val="32"/>
          <w:szCs w:val="32"/>
        </w:rPr>
        <w:t>4</w:t>
      </w:r>
      <w:r>
        <w:rPr>
          <w:rFonts w:hint="eastAsia" w:ascii="仿宋_GB2312" w:hAnsi="微软雅黑" w:eastAsia="仿宋_GB2312"/>
          <w:color w:val="auto"/>
          <w:sz w:val="32"/>
          <w:szCs w:val="32"/>
        </w:rPr>
        <w:t>.自然科学类学术论文作者限本专科学生，分为机械与控制、信息技术、数理、生命科学、能源化工等 5 个组别。哲学社会科学类可围绕经济、政治、文化、社会、生态文明建设等5个组别形成社会调查报告。科技发明制作类分为A、B 两类：A 类指科技含量较高、制作投入较大的作品；B 类指投入较少，且为生产技术或社会生活带来便利的小发明、小制作等作品。科技发明制作类 A 类、B 类均分为机械与控制、信息技术、数理、生命科学、能源化工等 5 个组别。每件作品只能选择以上 1 个类别中的 1 个组别参赛。</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auto"/>
          <w:sz w:val="32"/>
          <w:szCs w:val="32"/>
        </w:rPr>
      </w:pPr>
      <w:r>
        <w:rPr>
          <w:rFonts w:hint="eastAsia" w:ascii="仿宋_GB2312" w:hAnsi="微软雅黑" w:eastAsia="仿宋_GB2312"/>
          <w:color w:val="auto"/>
          <w:sz w:val="32"/>
          <w:szCs w:val="32"/>
          <w:lang w:val="en-US" w:eastAsia="zh-CN"/>
        </w:rPr>
        <w:t>5</w:t>
      </w:r>
      <w:r>
        <w:rPr>
          <w:rFonts w:hint="eastAsia" w:ascii="仿宋_GB2312" w:hAnsi="微软雅黑" w:eastAsia="仿宋_GB2312"/>
          <w:color w:val="auto"/>
          <w:sz w:val="32"/>
          <w:szCs w:val="32"/>
        </w:rPr>
        <w:t>.参赛作品涉及下列内容时，必须由申报者提供有关部门的证明材料，否则不予评审。</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auto"/>
          <w:sz w:val="32"/>
          <w:szCs w:val="32"/>
        </w:rPr>
      </w:pPr>
      <w:r>
        <w:rPr>
          <w:rFonts w:hint="eastAsia" w:ascii="仿宋_GB2312" w:hAnsi="微软雅黑" w:eastAsia="仿宋_GB2312"/>
          <w:color w:val="auto"/>
          <w:sz w:val="32"/>
          <w:szCs w:val="32"/>
        </w:rPr>
        <w:t>动植物新品种的发现或培育，须有省级以上农科部门或科研院所开具证明。</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auto"/>
          <w:sz w:val="32"/>
          <w:szCs w:val="32"/>
        </w:rPr>
      </w:pPr>
      <w:r>
        <w:rPr>
          <w:rFonts w:hint="eastAsia" w:ascii="仿宋_GB2312" w:hAnsi="微软雅黑" w:eastAsia="仿宋_GB2312"/>
          <w:color w:val="auto"/>
          <w:sz w:val="32"/>
          <w:szCs w:val="32"/>
        </w:rPr>
        <w:t>对国家保护动植物的研究，须有省级以上林业部门开具证明，证明该项研究的过程中未产生对所研究的动植物繁衍、生长不利的影响。</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auto"/>
          <w:sz w:val="32"/>
          <w:szCs w:val="32"/>
        </w:rPr>
      </w:pPr>
      <w:r>
        <w:rPr>
          <w:rFonts w:hint="eastAsia" w:ascii="仿宋_GB2312" w:hAnsi="微软雅黑" w:eastAsia="仿宋_GB2312"/>
          <w:color w:val="auto"/>
          <w:sz w:val="32"/>
          <w:szCs w:val="32"/>
        </w:rPr>
        <w:t>新药物的研究须有卫生行政部门授权机构的鉴定证明。医疗卫生研究须通过专家鉴定，并最好附有在公开发行的专业性杂志上发表过的文章。</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auto"/>
          <w:sz w:val="32"/>
          <w:szCs w:val="32"/>
        </w:rPr>
      </w:pPr>
      <w:r>
        <w:rPr>
          <w:rFonts w:hint="eastAsia" w:ascii="仿宋_GB2312" w:hAnsi="微软雅黑" w:eastAsia="仿宋_GB2312"/>
          <w:color w:val="auto"/>
          <w:sz w:val="32"/>
          <w:szCs w:val="32"/>
        </w:rPr>
        <w:t>涉及燃气用具等与人民生命财产安全有关用具的研究，须有国家相应行政部门授权机构的认定证明。</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微软雅黑" w:eastAsia="仿宋_GB2312"/>
          <w:color w:val="auto"/>
          <w:sz w:val="32"/>
          <w:szCs w:val="32"/>
          <w:lang w:val="en-US" w:eastAsia="zh-CN"/>
        </w:rPr>
      </w:pPr>
      <w:r>
        <w:rPr>
          <w:rFonts w:hint="eastAsia" w:ascii="仿宋_GB2312" w:hAnsi="微软雅黑" w:eastAsia="仿宋_GB2312"/>
          <w:color w:val="auto"/>
          <w:sz w:val="32"/>
          <w:szCs w:val="32"/>
          <w:lang w:val="en-US" w:eastAsia="zh-CN"/>
        </w:rPr>
        <w:t>6.关于哲学社会科学类参赛作品相关要求：</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微软雅黑" w:eastAsia="仿宋_GB2312"/>
          <w:color w:val="auto"/>
          <w:sz w:val="32"/>
          <w:szCs w:val="32"/>
          <w:lang w:val="en-US" w:eastAsia="zh-CN"/>
        </w:rPr>
      </w:pPr>
      <w:r>
        <w:rPr>
          <w:rFonts w:hint="default" w:ascii="仿宋_GB2312" w:hAnsi="微软雅黑" w:eastAsia="仿宋_GB2312"/>
          <w:color w:val="auto"/>
          <w:sz w:val="32"/>
          <w:szCs w:val="32"/>
          <w:lang w:val="en-US" w:eastAsia="zh-CN"/>
        </w:rPr>
        <w:t>为更好鼓励大学生深入洞察社会万象，运用哲学社会科学知识剖析现实问题，全面提升学术素养与实践能力，推动学术研究与国家发展和社会民生紧密结合，现明确相关要求如下。</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微软雅黑" w:eastAsia="仿宋_GB2312"/>
          <w:color w:val="auto"/>
          <w:sz w:val="32"/>
          <w:szCs w:val="32"/>
          <w:lang w:val="en-US" w:eastAsia="zh-CN"/>
        </w:rPr>
      </w:pPr>
      <w:r>
        <w:rPr>
          <w:rFonts w:hint="eastAsia" w:ascii="仿宋_GB2312" w:hAnsi="微软雅黑" w:eastAsia="仿宋_GB2312"/>
          <w:color w:val="auto"/>
          <w:sz w:val="32"/>
          <w:szCs w:val="32"/>
          <w:lang w:val="en-US" w:eastAsia="zh-CN"/>
        </w:rPr>
        <w:t>（一）</w:t>
      </w:r>
      <w:r>
        <w:rPr>
          <w:rFonts w:hint="default" w:ascii="仿宋_GB2312" w:hAnsi="微软雅黑" w:eastAsia="仿宋_GB2312"/>
          <w:color w:val="auto"/>
          <w:sz w:val="32"/>
          <w:szCs w:val="32"/>
          <w:lang w:val="en-US" w:eastAsia="zh-CN"/>
        </w:rPr>
        <w:t>总体要求</w:t>
      </w:r>
      <w:r>
        <w:rPr>
          <w:rFonts w:hint="eastAsia" w:ascii="仿宋_GB2312" w:hAnsi="微软雅黑" w:eastAsia="仿宋_GB2312"/>
          <w:color w:val="auto"/>
          <w:sz w:val="32"/>
          <w:szCs w:val="32"/>
          <w:lang w:val="en-US" w:eastAsia="zh-CN"/>
        </w:rPr>
        <w:t>：</w:t>
      </w:r>
      <w:r>
        <w:rPr>
          <w:rFonts w:hint="default" w:ascii="仿宋_GB2312" w:hAnsi="微软雅黑" w:eastAsia="仿宋_GB2312"/>
          <w:color w:val="auto"/>
          <w:sz w:val="32"/>
          <w:szCs w:val="32"/>
          <w:lang w:val="en-US" w:eastAsia="zh-CN"/>
        </w:rPr>
        <w:t>鼓励参赛学生认真学习党的二十大和二十届二中、三中全会精神，深刻领悟习近平新时代中国特色社会主义思想的世界观和方法论，积极弘扬社会主义核心价值观。通过竞赛，学生能够树立正确的世界观、人生观、价值观，培养实事求是、以人为本、与时俱进、艰苦奋斗、勇于创新和科学严谨的精神，锻炼运用科学理论认识、分析和解决实际问题的能力，不断拓展时代视野，加深对中国特色社会主义道路、理论、制度和文化的理解和把握。</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微软雅黑" w:eastAsia="仿宋_GB2312"/>
          <w:color w:val="auto"/>
          <w:sz w:val="32"/>
          <w:szCs w:val="32"/>
          <w:lang w:val="en-US" w:eastAsia="zh-CN"/>
        </w:rPr>
      </w:pPr>
      <w:r>
        <w:rPr>
          <w:rFonts w:hint="eastAsia" w:ascii="仿宋_GB2312" w:hAnsi="微软雅黑" w:eastAsia="仿宋_GB2312"/>
          <w:color w:val="auto"/>
          <w:sz w:val="32"/>
          <w:szCs w:val="32"/>
          <w:lang w:val="en-US" w:eastAsia="zh-CN"/>
        </w:rPr>
        <w:t>（二）</w:t>
      </w:r>
      <w:r>
        <w:rPr>
          <w:rFonts w:hint="default" w:ascii="仿宋_GB2312" w:hAnsi="微软雅黑" w:eastAsia="仿宋_GB2312"/>
          <w:color w:val="auto"/>
          <w:sz w:val="32"/>
          <w:szCs w:val="32"/>
          <w:lang w:val="en-US" w:eastAsia="zh-CN"/>
        </w:rPr>
        <w:t>内容要求</w:t>
      </w:r>
      <w:r>
        <w:rPr>
          <w:rFonts w:hint="eastAsia" w:ascii="仿宋_GB2312" w:hAnsi="微软雅黑" w:eastAsia="仿宋_GB2312"/>
          <w:color w:val="auto"/>
          <w:sz w:val="32"/>
          <w:szCs w:val="32"/>
          <w:lang w:val="en-US" w:eastAsia="zh-CN"/>
        </w:rPr>
        <w:t>：</w:t>
      </w:r>
      <w:r>
        <w:rPr>
          <w:rFonts w:hint="default" w:ascii="仿宋_GB2312" w:hAnsi="微软雅黑" w:eastAsia="仿宋_GB2312"/>
          <w:color w:val="auto"/>
          <w:sz w:val="32"/>
          <w:szCs w:val="32"/>
          <w:lang w:val="en-US" w:eastAsia="zh-CN"/>
        </w:rPr>
        <w:t>围绕中国式现代化建设的核心领域和关键任务，分为经济、政治、文化、社会、生态文明建设5个组别，形成有深度、有思考的社会调查报告。</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微软雅黑" w:eastAsia="仿宋_GB2312"/>
          <w:color w:val="auto"/>
          <w:sz w:val="32"/>
          <w:szCs w:val="32"/>
          <w:lang w:val="en-US" w:eastAsia="zh-CN"/>
        </w:rPr>
      </w:pPr>
      <w:r>
        <w:rPr>
          <w:rFonts w:hint="default" w:ascii="仿宋_GB2312" w:hAnsi="微软雅黑" w:eastAsia="仿宋_GB2312"/>
          <w:color w:val="auto"/>
          <w:sz w:val="32"/>
          <w:szCs w:val="32"/>
          <w:lang w:val="en-US" w:eastAsia="zh-CN"/>
        </w:rPr>
        <w:t>——聚焦经济建设，可着眼于构建高水平社会主义市场经济体制、建设现代化产业体系、全面推进乡村振兴、促进区域协调发展、推进高水平对外开放、科技自立自强、“一带一路”建设等方面开展研究。</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微软雅黑" w:eastAsia="仿宋_GB2312"/>
          <w:color w:val="auto"/>
          <w:sz w:val="32"/>
          <w:szCs w:val="32"/>
          <w:lang w:val="en-US" w:eastAsia="zh-CN"/>
        </w:rPr>
      </w:pPr>
      <w:r>
        <w:rPr>
          <w:rFonts w:hint="default" w:ascii="仿宋_GB2312" w:hAnsi="微软雅黑" w:eastAsia="仿宋_GB2312"/>
          <w:color w:val="auto"/>
          <w:sz w:val="32"/>
          <w:szCs w:val="32"/>
          <w:lang w:val="en-US" w:eastAsia="zh-CN"/>
        </w:rPr>
        <w:t>——聚焦政治建设，可着眼于发展全过程人民民主、推进国家治理体系和治理能力现代化、中国特色大国外交、全面依法治国、维护国家安全、完善社会治理等方面开展研究。</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微软雅黑" w:eastAsia="仿宋_GB2312"/>
          <w:color w:val="auto"/>
          <w:sz w:val="32"/>
          <w:szCs w:val="32"/>
          <w:lang w:val="en-US" w:eastAsia="zh-CN"/>
        </w:rPr>
      </w:pPr>
      <w:r>
        <w:rPr>
          <w:rFonts w:hint="default" w:ascii="仿宋_GB2312" w:hAnsi="微软雅黑" w:eastAsia="仿宋_GB2312"/>
          <w:color w:val="auto"/>
          <w:sz w:val="32"/>
          <w:szCs w:val="32"/>
          <w:lang w:val="en-US" w:eastAsia="zh-CN"/>
        </w:rPr>
        <w:t>——聚焦文化建设，可着眼于社会主义意识形态建设、社会文明建设、守护文化根脉、传承中华优秀传统文化、传统文化创新、非物质文化遗产的保护与开发、现代文化产业的发展、文化交流与传播等方面开展研究。</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微软雅黑" w:eastAsia="仿宋_GB2312"/>
          <w:color w:val="auto"/>
          <w:sz w:val="32"/>
          <w:szCs w:val="32"/>
          <w:lang w:val="en-US" w:eastAsia="zh-CN"/>
        </w:rPr>
      </w:pPr>
      <w:r>
        <w:rPr>
          <w:rFonts w:hint="default" w:ascii="仿宋_GB2312" w:hAnsi="微软雅黑" w:eastAsia="仿宋_GB2312"/>
          <w:color w:val="auto"/>
          <w:sz w:val="32"/>
          <w:szCs w:val="32"/>
          <w:lang w:val="en-US" w:eastAsia="zh-CN"/>
        </w:rPr>
        <w:t>——聚焦社会建设，可着眼于建设高质量教育体系、完善分配制度、促进就业、健全社会保障、推进健康中国建设、干预青少年心理健康问题、应对人口结构变化带来的社会挑战等方面开展研究。</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微软雅黑" w:eastAsia="仿宋_GB2312"/>
          <w:color w:val="auto"/>
          <w:sz w:val="32"/>
          <w:szCs w:val="32"/>
          <w:lang w:val="en-US" w:eastAsia="zh-CN"/>
        </w:rPr>
      </w:pPr>
      <w:r>
        <w:rPr>
          <w:rFonts w:hint="default" w:ascii="仿宋_GB2312" w:hAnsi="微软雅黑" w:eastAsia="仿宋_GB2312"/>
          <w:color w:val="auto"/>
          <w:sz w:val="32"/>
          <w:szCs w:val="32"/>
          <w:lang w:val="en-US" w:eastAsia="zh-CN"/>
        </w:rPr>
        <w:t>——聚焦生态文明建设，可着眼于绿色低碳、污染防治、生物多样性保护、人与自然和谐共生、应对气候变化、资源利用与可持续发展等方面开展研究。</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微软雅黑" w:eastAsia="仿宋_GB2312"/>
          <w:color w:val="auto"/>
          <w:sz w:val="32"/>
          <w:szCs w:val="32"/>
          <w:lang w:val="en-US" w:eastAsia="zh-CN"/>
        </w:rPr>
      </w:pPr>
      <w:r>
        <w:rPr>
          <w:rFonts w:hint="eastAsia" w:ascii="仿宋_GB2312" w:hAnsi="微软雅黑" w:eastAsia="仿宋_GB2312"/>
          <w:color w:val="auto"/>
          <w:sz w:val="32"/>
          <w:szCs w:val="32"/>
          <w:lang w:val="en-US" w:eastAsia="zh-CN"/>
        </w:rPr>
        <w:t>（三）</w:t>
      </w:r>
      <w:r>
        <w:rPr>
          <w:rFonts w:hint="default" w:ascii="仿宋_GB2312" w:hAnsi="微软雅黑" w:eastAsia="仿宋_GB2312"/>
          <w:color w:val="auto"/>
          <w:sz w:val="32"/>
          <w:szCs w:val="32"/>
          <w:lang w:val="en-US" w:eastAsia="zh-CN"/>
        </w:rPr>
        <w:t>格式要求</w:t>
      </w:r>
      <w:r>
        <w:rPr>
          <w:rFonts w:hint="eastAsia" w:ascii="仿宋_GB2312" w:hAnsi="微软雅黑" w:eastAsia="仿宋_GB2312"/>
          <w:color w:val="auto"/>
          <w:sz w:val="32"/>
          <w:szCs w:val="32"/>
          <w:lang w:val="en-US" w:eastAsia="zh-CN"/>
        </w:rPr>
        <w:t>：</w:t>
      </w:r>
      <w:r>
        <w:rPr>
          <w:rFonts w:hint="default" w:ascii="仿宋_GB2312" w:hAnsi="微软雅黑" w:eastAsia="仿宋_GB2312"/>
          <w:color w:val="auto"/>
          <w:sz w:val="32"/>
          <w:szCs w:val="32"/>
          <w:lang w:val="en-US" w:eastAsia="zh-CN"/>
        </w:rPr>
        <w:t>参赛作品要贴近实际、贴近生活、贴近群众，每篇在15000字以内，可自选上述5个组别中的一个报送。为党政部门、企事业单位所作的各类发展规划、工作方案和咨询报告，已被采用的可申报参赛，同时附上原件和采用单位证明的复印件和鉴定材料等。不得存在抄袭、剽窃、未经授权使用他人知识产权成果等侵权及不正当竞争行为。</w:t>
      </w:r>
    </w:p>
    <w:p>
      <w:pPr>
        <w:pStyle w:val="3"/>
        <w:keepNext w:val="0"/>
        <w:keepLines w:val="0"/>
        <w:pageBreakBefore w:val="0"/>
        <w:widowControl/>
        <w:shd w:val="clear" w:color="auto"/>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微软雅黑" w:eastAsia="仿宋_GB2312"/>
          <w:color w:val="auto"/>
          <w:sz w:val="32"/>
          <w:szCs w:val="32"/>
        </w:rPr>
        <w:sectPr>
          <w:headerReference r:id="rId3" w:type="default"/>
          <w:pgSz w:w="11906" w:h="16838"/>
          <w:pgMar w:top="1984" w:right="1417" w:bottom="1928" w:left="1474" w:header="851" w:footer="992" w:gutter="0"/>
          <w:cols w:space="720" w:num="1"/>
          <w:docGrid w:type="lines" w:linePitch="312" w:charSpace="0"/>
        </w:sectPr>
      </w:pPr>
      <w:r>
        <w:rPr>
          <w:rFonts w:hint="eastAsia" w:ascii="仿宋_GB2312" w:hAnsi="微软雅黑" w:eastAsia="仿宋_GB2312"/>
          <w:color w:val="auto"/>
          <w:sz w:val="32"/>
          <w:szCs w:val="32"/>
          <w:lang w:val="en-US" w:eastAsia="zh-CN"/>
        </w:rPr>
        <w:t>7</w:t>
      </w:r>
      <w:r>
        <w:rPr>
          <w:rFonts w:hint="eastAsia" w:ascii="仿宋_GB2312" w:hAnsi="微软雅黑" w:eastAsia="仿宋_GB2312"/>
          <w:color w:val="auto"/>
          <w:sz w:val="32"/>
          <w:szCs w:val="32"/>
        </w:rPr>
        <w:t>.参赛作品存在舞弊、抄袭、作假，将国家课题、教师科研成果包装成学生项目的，均视为严重违规行为。参赛作品在公示环节，知情公众如发现作品不符合申报要求或存在严重违规行为，各学院要严肃对待、一经查实取消作品参赛资格。参赛作品如在参赛环节被检查或经举报核实发现作品不符合申报要求，取消作品参赛资格，并根据校内竞赛章程相关规定，对学院进行严肃问责处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FD45BD"/>
    <w:rsid w:val="10FD4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3">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2026-08-30T05:36:00Z</dcterms:created>
  <dc:creator>shen'fen</dc:creator>
  <cp:lastModifiedBy>shen'fen</cp:lastModifiedBy>
  <dcterms:modified xsi:type="dcterms:W3CDTF">2026-08-30T05:37:12Z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